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3FCB" w:rsidRDefault="007E750C" w:rsidP="007E750C">
      <w:pPr>
        <w:pStyle w:val="Heading1"/>
        <w:rPr>
          <w:color w:val="000000"/>
        </w:rPr>
      </w:pPr>
      <w:r>
        <w:rPr>
          <w:b/>
          <w:color w:val="000000"/>
        </w:rPr>
        <w:t>Assignment #1</w:t>
      </w:r>
      <w:r>
        <w:rPr>
          <w:color w:val="000000"/>
        </w:rPr>
        <w:t>– Examining Financial Statements</w:t>
      </w:r>
    </w:p>
    <w:p w:rsidR="00883670" w:rsidRDefault="00883670" w:rsidP="00883670">
      <w:pPr>
        <w:rPr>
          <w:rFonts w:ascii="Times New Roman" w:hAnsi="Times New Roman" w:cs="Times New Roman"/>
          <w:sz w:val="24"/>
          <w:szCs w:val="24"/>
        </w:rPr>
      </w:pPr>
    </w:p>
    <w:p w:rsidR="00883670" w:rsidRDefault="00883670" w:rsidP="00883670">
      <w:pPr>
        <w:rPr>
          <w:rFonts w:ascii="Times New Roman" w:hAnsi="Times New Roman" w:cs="Times New Roman"/>
          <w:sz w:val="24"/>
          <w:szCs w:val="24"/>
        </w:rPr>
      </w:pPr>
      <w:r>
        <w:rPr>
          <w:rFonts w:ascii="Times New Roman" w:hAnsi="Times New Roman" w:cs="Times New Roman"/>
          <w:sz w:val="24"/>
          <w:szCs w:val="24"/>
        </w:rPr>
        <w:t xml:space="preserve">The company I will be analyzing is general </w:t>
      </w:r>
      <w:proofErr w:type="spellStart"/>
      <w:r>
        <w:rPr>
          <w:rFonts w:ascii="Times New Roman" w:hAnsi="Times New Roman" w:cs="Times New Roman"/>
          <w:sz w:val="24"/>
          <w:szCs w:val="24"/>
        </w:rPr>
        <w:t>motors</w:t>
      </w:r>
      <w:proofErr w:type="spellEnd"/>
      <w:r>
        <w:rPr>
          <w:rFonts w:ascii="Times New Roman" w:hAnsi="Times New Roman" w:cs="Times New Roman"/>
          <w:sz w:val="24"/>
          <w:szCs w:val="24"/>
        </w:rPr>
        <w:t xml:space="preserve"> limited ranked at position 18 in the fortune 500; it is a car manufacturing and assembling company. Its inventory is in the form of assembled vehicles.</w:t>
      </w:r>
    </w:p>
    <w:p w:rsidR="00883670" w:rsidRDefault="00883670" w:rsidP="00883670">
      <w:pPr>
        <w:rPr>
          <w:rFonts w:ascii="Times New Roman" w:hAnsi="Times New Roman" w:cs="Times New Roman"/>
          <w:sz w:val="24"/>
          <w:szCs w:val="24"/>
        </w:rPr>
      </w:pPr>
      <w:r>
        <w:rPr>
          <w:rFonts w:ascii="Times New Roman" w:hAnsi="Times New Roman" w:cs="Times New Roman"/>
          <w:sz w:val="24"/>
          <w:szCs w:val="24"/>
        </w:rPr>
        <w:t>Values used in this document are in USD millions.</w:t>
      </w:r>
    </w:p>
    <w:p w:rsidR="00883670" w:rsidRPr="007E750C" w:rsidRDefault="00883670" w:rsidP="00883670">
      <w:pPr>
        <w:rPr>
          <w:rFonts w:ascii="Times New Roman" w:hAnsi="Times New Roman" w:cs="Times New Roman"/>
          <w:sz w:val="24"/>
          <w:szCs w:val="24"/>
          <w:u w:val="single"/>
        </w:rPr>
      </w:pPr>
      <w:r w:rsidRPr="007E750C">
        <w:rPr>
          <w:rFonts w:ascii="Times New Roman" w:hAnsi="Times New Roman" w:cs="Times New Roman"/>
          <w:sz w:val="24"/>
          <w:szCs w:val="24"/>
          <w:u w:val="single"/>
        </w:rPr>
        <w:t>Balance sheet</w:t>
      </w:r>
    </w:p>
    <w:p w:rsidR="00883670" w:rsidRDefault="00883670" w:rsidP="00883670">
      <w:pPr>
        <w:rPr>
          <w:rFonts w:ascii="Times New Roman" w:hAnsi="Times New Roman" w:cs="Times New Roman"/>
          <w:sz w:val="24"/>
          <w:szCs w:val="24"/>
        </w:rPr>
      </w:pPr>
      <w:r>
        <w:rPr>
          <w:rFonts w:ascii="Times New Roman" w:hAnsi="Times New Roman" w:cs="Times New Roman"/>
          <w:sz w:val="24"/>
          <w:szCs w:val="24"/>
        </w:rPr>
        <w:t>-The purpose of a balanced sheet is to give interested parties an idea of the company’s financial position in addition to showing what the company owns and what it owes. A balance sheet is used to evaluate the financial position of a company during a particular period of time.</w:t>
      </w:r>
    </w:p>
    <w:p w:rsidR="00883670" w:rsidRDefault="00883670" w:rsidP="00883670">
      <w:pPr>
        <w:rPr>
          <w:rFonts w:ascii="Times New Roman" w:hAnsi="Times New Roman" w:cs="Times New Roman"/>
          <w:sz w:val="24"/>
          <w:szCs w:val="24"/>
        </w:rPr>
      </w:pPr>
      <w:r>
        <w:rPr>
          <w:rFonts w:ascii="Times New Roman" w:hAnsi="Times New Roman" w:cs="Times New Roman"/>
          <w:sz w:val="24"/>
          <w:szCs w:val="24"/>
        </w:rPr>
        <w:t>-Balance sheets have various uses depending on the party using the financial statement, some of the parties that could be interested in the balance sheet are: owners, suppliers, investors, government, customers and the general public.</w:t>
      </w:r>
    </w:p>
    <w:p w:rsidR="007312DD" w:rsidRPr="00883670" w:rsidRDefault="00883670" w:rsidP="007E750C">
      <w:r>
        <w:rPr>
          <w:rFonts w:ascii="Times New Roman" w:hAnsi="Times New Roman" w:cs="Times New Roman"/>
          <w:sz w:val="24"/>
          <w:szCs w:val="24"/>
        </w:rPr>
        <w:t xml:space="preserve">The common size percentages are obtained by expressing the balance sheet items as a percentage of total assets </w:t>
      </w:r>
      <w:r w:rsidR="002461A6">
        <w:rPr>
          <w:rFonts w:ascii="Times New Roman" w:hAnsi="Times New Roman" w:cs="Times New Roman"/>
          <w:sz w:val="24"/>
          <w:szCs w:val="24"/>
        </w:rPr>
        <w:t>i.e.: inventory/total assets</w:t>
      </w:r>
    </w:p>
    <w:p w:rsidR="00757600" w:rsidRDefault="00757600" w:rsidP="00757600">
      <w:pPr>
        <w:rPr>
          <w:rFonts w:ascii="Times New Roman" w:hAnsi="Times New Roman" w:cs="Times New Roman"/>
          <w:sz w:val="24"/>
          <w:szCs w:val="24"/>
        </w:rPr>
      </w:pPr>
      <w:r>
        <w:rPr>
          <w:rFonts w:ascii="Times New Roman" w:hAnsi="Times New Roman" w:cs="Times New Roman"/>
          <w:sz w:val="24"/>
          <w:szCs w:val="24"/>
        </w:rPr>
        <w:t>Total assets =228037</w:t>
      </w:r>
    </w:p>
    <w:p w:rsidR="00757600" w:rsidRDefault="00757600" w:rsidP="00757600">
      <w:pPr>
        <w:rPr>
          <w:rFonts w:ascii="Times New Roman" w:hAnsi="Times New Roman" w:cs="Times New Roman"/>
          <w:sz w:val="24"/>
          <w:szCs w:val="24"/>
        </w:rPr>
      </w:pPr>
      <w:r>
        <w:rPr>
          <w:rFonts w:ascii="Times New Roman" w:hAnsi="Times New Roman" w:cs="Times New Roman"/>
          <w:sz w:val="24"/>
          <w:szCs w:val="24"/>
        </w:rPr>
        <w:t>Total liabilities=182080</w:t>
      </w:r>
    </w:p>
    <w:p w:rsidR="00757600" w:rsidRDefault="00757600" w:rsidP="00757600">
      <w:pPr>
        <w:rPr>
          <w:rFonts w:ascii="Times New Roman" w:hAnsi="Times New Roman" w:cs="Times New Roman"/>
          <w:sz w:val="24"/>
          <w:szCs w:val="24"/>
        </w:rPr>
      </w:pPr>
      <w:r>
        <w:rPr>
          <w:rFonts w:ascii="Times New Roman" w:hAnsi="Times New Roman" w:cs="Times New Roman"/>
          <w:sz w:val="24"/>
          <w:szCs w:val="24"/>
        </w:rPr>
        <w:t>Shareholders equity=45957</w:t>
      </w:r>
    </w:p>
    <w:p w:rsidR="00757600" w:rsidRDefault="00757600" w:rsidP="007E750C">
      <w:pPr>
        <w:rPr>
          <w:rFonts w:ascii="Times New Roman" w:hAnsi="Times New Roman" w:cs="Times New Roman"/>
          <w:sz w:val="24"/>
          <w:szCs w:val="24"/>
        </w:rPr>
      </w:pPr>
    </w:p>
    <w:p w:rsidR="00CE0A32" w:rsidRDefault="007D7875" w:rsidP="007E750C">
      <w:pPr>
        <w:rPr>
          <w:rFonts w:ascii="Times New Roman" w:hAnsi="Times New Roman" w:cs="Times New Roman"/>
          <w:sz w:val="24"/>
          <w:szCs w:val="24"/>
        </w:rPr>
      </w:pPr>
      <w:r>
        <w:rPr>
          <w:rFonts w:ascii="Times New Roman" w:hAnsi="Times New Roman" w:cs="Times New Roman"/>
          <w:sz w:val="24"/>
          <w:szCs w:val="24"/>
        </w:rPr>
        <w:t xml:space="preserve">                                 General </w:t>
      </w:r>
      <w:proofErr w:type="spellStart"/>
      <w:r>
        <w:rPr>
          <w:rFonts w:ascii="Times New Roman" w:hAnsi="Times New Roman" w:cs="Times New Roman"/>
          <w:sz w:val="24"/>
          <w:szCs w:val="24"/>
        </w:rPr>
        <w:t>motors</w:t>
      </w:r>
      <w:proofErr w:type="spellEnd"/>
      <w:r>
        <w:rPr>
          <w:rFonts w:ascii="Times New Roman" w:hAnsi="Times New Roman" w:cs="Times New Roman"/>
          <w:sz w:val="24"/>
          <w:szCs w:val="24"/>
        </w:rPr>
        <w:t xml:space="preserve"> limited</w:t>
      </w:r>
    </w:p>
    <w:p w:rsidR="007D7875" w:rsidRDefault="007D7875" w:rsidP="007E750C">
      <w:pPr>
        <w:rPr>
          <w:rFonts w:ascii="Times New Roman" w:hAnsi="Times New Roman" w:cs="Times New Roman"/>
          <w:sz w:val="24"/>
          <w:szCs w:val="24"/>
        </w:rPr>
      </w:pPr>
      <w:r>
        <w:rPr>
          <w:rFonts w:ascii="Times New Roman" w:hAnsi="Times New Roman" w:cs="Times New Roman"/>
          <w:sz w:val="24"/>
          <w:szCs w:val="24"/>
        </w:rPr>
        <w:t xml:space="preserve">                               Common-size balance sheet</w:t>
      </w:r>
    </w:p>
    <w:p w:rsidR="007D7875" w:rsidRDefault="007D7875" w:rsidP="007E750C">
      <w:pPr>
        <w:rPr>
          <w:rFonts w:ascii="Times New Roman" w:hAnsi="Times New Roman" w:cs="Times New Roman"/>
          <w:sz w:val="24"/>
          <w:szCs w:val="24"/>
        </w:rPr>
      </w:pPr>
      <w:r>
        <w:rPr>
          <w:rFonts w:ascii="Times New Roman" w:hAnsi="Times New Roman" w:cs="Times New Roman"/>
          <w:sz w:val="24"/>
          <w:szCs w:val="24"/>
        </w:rPr>
        <w:t xml:space="preserve">                                      December 31 2020</w:t>
      </w:r>
    </w:p>
    <w:tbl>
      <w:tblPr>
        <w:tblW w:w="5740" w:type="dxa"/>
        <w:tblInd w:w="86" w:type="dxa"/>
        <w:tblLook w:val="04A0"/>
      </w:tblPr>
      <w:tblGrid>
        <w:gridCol w:w="3820"/>
        <w:gridCol w:w="960"/>
        <w:gridCol w:w="960"/>
      </w:tblGrid>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r w:rsidRPr="007D7875">
              <w:rPr>
                <w:rFonts w:ascii="Calibri" w:eastAsia="Times New Roman" w:hAnsi="Calibri" w:cs="Calibri"/>
                <w:color w:val="000000"/>
              </w:rPr>
              <w:t>cash on hand</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23243</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10.19%</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r w:rsidRPr="007D7875">
              <w:rPr>
                <w:rFonts w:ascii="Calibri" w:eastAsia="Times New Roman" w:hAnsi="Calibri" w:cs="Calibri"/>
                <w:color w:val="000000"/>
              </w:rPr>
              <w:t>Account receivable</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33398</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14.65%</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r w:rsidRPr="007D7875">
              <w:rPr>
                <w:rFonts w:ascii="Calibri" w:eastAsia="Times New Roman" w:hAnsi="Calibri" w:cs="Calibri"/>
                <w:color w:val="000000"/>
              </w:rPr>
              <w:t>inventory</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10398</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4.56%</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r w:rsidRPr="007D7875">
              <w:rPr>
                <w:rFonts w:ascii="Calibri" w:eastAsia="Times New Roman" w:hAnsi="Calibri" w:cs="Calibri"/>
                <w:color w:val="000000"/>
              </w:rPr>
              <w:t>prepaid expenses</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r w:rsidRPr="007D7875">
              <w:rPr>
                <w:rFonts w:ascii="Calibri" w:eastAsia="Times New Roman" w:hAnsi="Calibri" w:cs="Calibri"/>
                <w:color w:val="000000"/>
              </w:rPr>
              <w:t>……..</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r w:rsidRPr="007D7875">
              <w:rPr>
                <w:rFonts w:ascii="Calibri" w:eastAsia="Times New Roman" w:hAnsi="Calibri" w:cs="Calibri"/>
                <w:color w:val="000000"/>
              </w:rPr>
              <w:t>………</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r w:rsidRPr="007D7875">
              <w:rPr>
                <w:rFonts w:ascii="Calibri" w:eastAsia="Times New Roman" w:hAnsi="Calibri" w:cs="Calibri"/>
                <w:color w:val="000000"/>
              </w:rPr>
              <w:t>other current assets</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7953</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3.49%</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b/>
                <w:bCs/>
                <w:color w:val="000000"/>
              </w:rPr>
            </w:pPr>
            <w:r w:rsidRPr="007D7875">
              <w:rPr>
                <w:rFonts w:ascii="Calibri" w:eastAsia="Times New Roman" w:hAnsi="Calibri" w:cs="Calibri"/>
                <w:b/>
                <w:bCs/>
                <w:color w:val="000000"/>
              </w:rPr>
              <w:t>total current assets</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b/>
                <w:bCs/>
                <w:color w:val="000000"/>
              </w:rPr>
            </w:pPr>
            <w:r w:rsidRPr="007D7875">
              <w:rPr>
                <w:rFonts w:ascii="Calibri" w:eastAsia="Times New Roman" w:hAnsi="Calibri" w:cs="Calibri"/>
                <w:b/>
                <w:bCs/>
                <w:color w:val="000000"/>
              </w:rPr>
              <w:t>74992</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b/>
                <w:bCs/>
                <w:color w:val="000000"/>
              </w:rPr>
            </w:pPr>
            <w:r w:rsidRPr="007D7875">
              <w:rPr>
                <w:rFonts w:ascii="Calibri" w:eastAsia="Times New Roman" w:hAnsi="Calibri" w:cs="Calibri"/>
                <w:b/>
                <w:bCs/>
                <w:color w:val="000000"/>
              </w:rPr>
              <w:t>32.89%</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r w:rsidRPr="007D7875">
              <w:rPr>
                <w:rFonts w:ascii="Calibri" w:eastAsia="Times New Roman" w:hAnsi="Calibri" w:cs="Calibri"/>
                <w:color w:val="000000"/>
              </w:rPr>
              <w:t xml:space="preserve">property,plant,equipment </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38750</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16.99%</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r w:rsidRPr="007D7875">
              <w:rPr>
                <w:rFonts w:ascii="Calibri" w:eastAsia="Times New Roman" w:hAnsi="Calibri" w:cs="Calibri"/>
                <w:color w:val="000000"/>
              </w:rPr>
              <w:t>long-term investments</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8562</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3.75%</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r w:rsidRPr="007D7875">
              <w:rPr>
                <w:rFonts w:ascii="Calibri" w:eastAsia="Times New Roman" w:hAnsi="Calibri" w:cs="Calibri"/>
                <w:color w:val="000000"/>
              </w:rPr>
              <w:t>Goodwill</w:t>
            </w:r>
            <w:r>
              <w:rPr>
                <w:rFonts w:ascii="Calibri" w:eastAsia="Times New Roman" w:hAnsi="Calibri" w:cs="Calibri"/>
                <w:color w:val="000000"/>
              </w:rPr>
              <w:t xml:space="preserve"> and </w:t>
            </w:r>
            <w:r w:rsidRPr="007D7875">
              <w:rPr>
                <w:rFonts w:ascii="Calibri" w:eastAsia="Times New Roman" w:hAnsi="Calibri" w:cs="Calibri"/>
                <w:color w:val="000000"/>
              </w:rPr>
              <w:t xml:space="preserve"> intangible assets</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5337</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2.34%</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r w:rsidRPr="007D7875">
              <w:rPr>
                <w:rFonts w:ascii="Calibri" w:eastAsia="Times New Roman" w:hAnsi="Calibri" w:cs="Calibri"/>
                <w:color w:val="000000"/>
              </w:rPr>
              <w:lastRenderedPageBreak/>
              <w:t>other long term assets</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100396</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44.03%</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b/>
                <w:bCs/>
                <w:color w:val="000000"/>
              </w:rPr>
            </w:pPr>
            <w:r w:rsidRPr="007D7875">
              <w:rPr>
                <w:rFonts w:ascii="Calibri" w:eastAsia="Times New Roman" w:hAnsi="Calibri" w:cs="Calibri"/>
                <w:b/>
                <w:bCs/>
                <w:color w:val="000000"/>
              </w:rPr>
              <w:t>total long term assets</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b/>
                <w:bCs/>
                <w:color w:val="000000"/>
              </w:rPr>
            </w:pPr>
            <w:r w:rsidRPr="007D7875">
              <w:rPr>
                <w:rFonts w:ascii="Calibri" w:eastAsia="Times New Roman" w:hAnsi="Calibri" w:cs="Calibri"/>
                <w:b/>
                <w:bCs/>
                <w:color w:val="000000"/>
              </w:rPr>
              <w:t>153045</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b/>
                <w:bCs/>
                <w:color w:val="000000"/>
              </w:rPr>
            </w:pPr>
            <w:r w:rsidRPr="007D7875">
              <w:rPr>
                <w:rFonts w:ascii="Calibri" w:eastAsia="Times New Roman" w:hAnsi="Calibri" w:cs="Calibri"/>
                <w:b/>
                <w:bCs/>
                <w:color w:val="000000"/>
              </w:rPr>
              <w:t>67%</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b/>
                <w:bCs/>
                <w:color w:val="000000"/>
              </w:rPr>
            </w:pPr>
            <w:r w:rsidRPr="007D7875">
              <w:rPr>
                <w:rFonts w:ascii="Calibri" w:eastAsia="Times New Roman" w:hAnsi="Calibri" w:cs="Calibri"/>
                <w:b/>
                <w:bCs/>
                <w:color w:val="000000"/>
              </w:rPr>
              <w:t>total assets</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b/>
                <w:bCs/>
                <w:color w:val="000000"/>
              </w:rPr>
            </w:pPr>
            <w:r w:rsidRPr="007D7875">
              <w:rPr>
                <w:rFonts w:ascii="Calibri" w:eastAsia="Times New Roman" w:hAnsi="Calibri" w:cs="Calibri"/>
                <w:b/>
                <w:bCs/>
                <w:color w:val="000000"/>
              </w:rPr>
              <w:t>228037</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b/>
                <w:bCs/>
                <w:color w:val="000000"/>
              </w:rPr>
            </w:pPr>
            <w:r w:rsidRPr="007D7875">
              <w:rPr>
                <w:rFonts w:ascii="Calibri" w:eastAsia="Times New Roman" w:hAnsi="Calibri" w:cs="Calibri"/>
                <w:b/>
                <w:bCs/>
                <w:color w:val="000000"/>
              </w:rPr>
              <w:t>100%</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b/>
                <w:bCs/>
                <w:color w:val="000000"/>
              </w:rPr>
            </w:pPr>
            <w:r w:rsidRPr="007D7875">
              <w:rPr>
                <w:rFonts w:ascii="Calibri" w:eastAsia="Times New Roman" w:hAnsi="Calibri" w:cs="Calibri"/>
                <w:b/>
                <w:bCs/>
                <w:color w:val="000000"/>
              </w:rPr>
              <w:t xml:space="preserve">total current liabilities </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b/>
                <w:bCs/>
                <w:color w:val="000000"/>
              </w:rPr>
            </w:pPr>
            <w:r w:rsidRPr="007D7875">
              <w:rPr>
                <w:rFonts w:ascii="Calibri" w:eastAsia="Times New Roman" w:hAnsi="Calibri" w:cs="Calibri"/>
                <w:b/>
                <w:bCs/>
                <w:color w:val="000000"/>
              </w:rPr>
              <w:t>84905</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b/>
                <w:bCs/>
                <w:color w:val="000000"/>
              </w:rPr>
            </w:pPr>
            <w:r w:rsidRPr="007D7875">
              <w:rPr>
                <w:rFonts w:ascii="Calibri" w:eastAsia="Times New Roman" w:hAnsi="Calibri" w:cs="Calibri"/>
                <w:b/>
                <w:bCs/>
                <w:color w:val="000000"/>
              </w:rPr>
              <w:t>37.23%</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r w:rsidRPr="007D7875">
              <w:rPr>
                <w:rFonts w:ascii="Calibri" w:eastAsia="Times New Roman" w:hAnsi="Calibri" w:cs="Calibri"/>
                <w:color w:val="000000"/>
              </w:rPr>
              <w:t>long term debt</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65924</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28.91%</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r w:rsidRPr="007D7875">
              <w:rPr>
                <w:rFonts w:ascii="Calibri" w:eastAsia="Times New Roman" w:hAnsi="Calibri" w:cs="Calibri"/>
                <w:color w:val="000000"/>
              </w:rPr>
              <w:t>other non-current liabilities</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13146</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5.76%</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r w:rsidRPr="007D7875">
              <w:rPr>
                <w:rFonts w:ascii="Calibri" w:eastAsia="Times New Roman" w:hAnsi="Calibri" w:cs="Calibri"/>
                <w:color w:val="000000"/>
              </w:rPr>
              <w:t>total long term liabilities</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97175</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34.67%</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b/>
                <w:bCs/>
                <w:color w:val="000000"/>
              </w:rPr>
            </w:pPr>
            <w:r w:rsidRPr="007D7875">
              <w:rPr>
                <w:rFonts w:ascii="Calibri" w:eastAsia="Times New Roman" w:hAnsi="Calibri" w:cs="Calibri"/>
                <w:b/>
                <w:bCs/>
                <w:color w:val="000000"/>
              </w:rPr>
              <w:t>Total liabilities</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b/>
                <w:bCs/>
                <w:color w:val="000000"/>
              </w:rPr>
            </w:pPr>
            <w:r w:rsidRPr="007D7875">
              <w:rPr>
                <w:rFonts w:ascii="Calibri" w:eastAsia="Times New Roman" w:hAnsi="Calibri" w:cs="Calibri"/>
                <w:b/>
                <w:bCs/>
                <w:color w:val="000000"/>
              </w:rPr>
              <w:t>182080</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b/>
                <w:bCs/>
                <w:color w:val="000000"/>
              </w:rPr>
            </w:pPr>
            <w:r w:rsidRPr="007D7875">
              <w:rPr>
                <w:rFonts w:ascii="Calibri" w:eastAsia="Times New Roman" w:hAnsi="Calibri" w:cs="Calibri"/>
                <w:b/>
                <w:bCs/>
                <w:color w:val="000000"/>
              </w:rPr>
              <w:t>71.90%</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r w:rsidRPr="007D7875">
              <w:rPr>
                <w:rFonts w:ascii="Calibri" w:eastAsia="Times New Roman" w:hAnsi="Calibri" w:cs="Calibri"/>
                <w:color w:val="000000"/>
              </w:rPr>
              <w:t>common stock net</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14</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0.01%</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r w:rsidRPr="007D7875">
              <w:rPr>
                <w:rFonts w:ascii="Calibri" w:eastAsia="Times New Roman" w:hAnsi="Calibri" w:cs="Calibri"/>
                <w:color w:val="000000"/>
              </w:rPr>
              <w:t>retained earnings(accumulated deficit)</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26860</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11.78%</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r w:rsidRPr="007D7875">
              <w:rPr>
                <w:rFonts w:ascii="Calibri" w:eastAsia="Times New Roman" w:hAnsi="Calibri" w:cs="Calibri"/>
                <w:color w:val="000000"/>
              </w:rPr>
              <w:t>comprehensive income</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11156</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4.89%</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color w:val="000000"/>
              </w:rPr>
            </w:pPr>
            <w:r w:rsidRPr="007D7875">
              <w:rPr>
                <w:rFonts w:ascii="Calibri" w:eastAsia="Times New Roman" w:hAnsi="Calibri" w:cs="Calibri"/>
                <w:color w:val="000000"/>
              </w:rPr>
              <w:t>other shareholders equity</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7927</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color w:val="000000"/>
              </w:rPr>
            </w:pPr>
            <w:r w:rsidRPr="007D7875">
              <w:rPr>
                <w:rFonts w:ascii="Calibri" w:eastAsia="Times New Roman" w:hAnsi="Calibri" w:cs="Calibri"/>
                <w:color w:val="000000"/>
              </w:rPr>
              <w:t>13.26%</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b/>
                <w:bCs/>
                <w:color w:val="000000"/>
              </w:rPr>
            </w:pPr>
            <w:r w:rsidRPr="007D7875">
              <w:rPr>
                <w:rFonts w:ascii="Calibri" w:eastAsia="Times New Roman" w:hAnsi="Calibri" w:cs="Calibri"/>
                <w:b/>
                <w:bCs/>
                <w:color w:val="000000"/>
              </w:rPr>
              <w:t>total shareholders’ equity</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b/>
                <w:bCs/>
                <w:color w:val="000000"/>
              </w:rPr>
            </w:pPr>
            <w:r w:rsidRPr="007D7875">
              <w:rPr>
                <w:rFonts w:ascii="Calibri" w:eastAsia="Times New Roman" w:hAnsi="Calibri" w:cs="Calibri"/>
                <w:b/>
                <w:bCs/>
                <w:color w:val="000000"/>
              </w:rPr>
              <w:t>45957</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b/>
                <w:bCs/>
                <w:color w:val="000000"/>
              </w:rPr>
            </w:pPr>
            <w:r w:rsidRPr="007D7875">
              <w:rPr>
                <w:rFonts w:ascii="Calibri" w:eastAsia="Times New Roman" w:hAnsi="Calibri" w:cs="Calibri"/>
                <w:b/>
                <w:bCs/>
                <w:color w:val="000000"/>
              </w:rPr>
              <w:t>29.94%</w:t>
            </w:r>
          </w:p>
        </w:tc>
      </w:tr>
      <w:tr w:rsidR="007D7875" w:rsidRPr="007D7875" w:rsidTr="007D7875">
        <w:trPr>
          <w:trHeight w:val="300"/>
        </w:trPr>
        <w:tc>
          <w:tcPr>
            <w:tcW w:w="382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rPr>
                <w:rFonts w:ascii="Calibri" w:eastAsia="Times New Roman" w:hAnsi="Calibri" w:cs="Calibri"/>
                <w:b/>
                <w:bCs/>
                <w:color w:val="000000"/>
              </w:rPr>
            </w:pPr>
            <w:r w:rsidRPr="007D7875">
              <w:rPr>
                <w:rFonts w:ascii="Calibri" w:eastAsia="Times New Roman" w:hAnsi="Calibri" w:cs="Calibri"/>
                <w:b/>
                <w:bCs/>
                <w:color w:val="000000"/>
              </w:rPr>
              <w:t>Total equity and liabilities</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b/>
                <w:bCs/>
                <w:color w:val="000000"/>
              </w:rPr>
            </w:pPr>
            <w:r w:rsidRPr="007D7875">
              <w:rPr>
                <w:rFonts w:ascii="Calibri" w:eastAsia="Times New Roman" w:hAnsi="Calibri" w:cs="Calibri"/>
                <w:b/>
                <w:bCs/>
                <w:color w:val="000000"/>
              </w:rPr>
              <w:t>228037</w:t>
            </w:r>
          </w:p>
        </w:tc>
        <w:tc>
          <w:tcPr>
            <w:tcW w:w="960" w:type="dxa"/>
            <w:tcBorders>
              <w:top w:val="nil"/>
              <w:left w:val="nil"/>
              <w:bottom w:val="nil"/>
              <w:right w:val="nil"/>
            </w:tcBorders>
            <w:shd w:val="clear" w:color="auto" w:fill="auto"/>
            <w:noWrap/>
            <w:vAlign w:val="bottom"/>
            <w:hideMark/>
          </w:tcPr>
          <w:p w:rsidR="007D7875" w:rsidRPr="007D7875" w:rsidRDefault="007D7875" w:rsidP="007D7875">
            <w:pPr>
              <w:spacing w:after="0" w:line="240" w:lineRule="auto"/>
              <w:jc w:val="right"/>
              <w:rPr>
                <w:rFonts w:ascii="Calibri" w:eastAsia="Times New Roman" w:hAnsi="Calibri" w:cs="Calibri"/>
                <w:b/>
                <w:bCs/>
                <w:color w:val="000000"/>
              </w:rPr>
            </w:pPr>
            <w:r w:rsidRPr="007D7875">
              <w:rPr>
                <w:rFonts w:ascii="Calibri" w:eastAsia="Times New Roman" w:hAnsi="Calibri" w:cs="Calibri"/>
                <w:b/>
                <w:bCs/>
                <w:color w:val="000000"/>
              </w:rPr>
              <w:t>100%</w:t>
            </w:r>
          </w:p>
        </w:tc>
      </w:tr>
    </w:tbl>
    <w:p w:rsidR="007D7875" w:rsidRDefault="007D7875" w:rsidP="007E750C">
      <w:pPr>
        <w:rPr>
          <w:rFonts w:ascii="Times New Roman" w:hAnsi="Times New Roman" w:cs="Times New Roman"/>
          <w:sz w:val="24"/>
          <w:szCs w:val="24"/>
        </w:rPr>
      </w:pPr>
    </w:p>
    <w:p w:rsidR="00883670" w:rsidRDefault="00883670" w:rsidP="00883670">
      <w:pPr>
        <w:rPr>
          <w:rFonts w:ascii="Times New Roman" w:hAnsi="Times New Roman" w:cs="Times New Roman"/>
          <w:sz w:val="24"/>
          <w:szCs w:val="24"/>
        </w:rPr>
      </w:pPr>
      <w:r>
        <w:rPr>
          <w:rFonts w:ascii="Times New Roman" w:hAnsi="Times New Roman" w:cs="Times New Roman"/>
          <w:sz w:val="24"/>
          <w:szCs w:val="24"/>
        </w:rPr>
        <w:t xml:space="preserve">-General </w:t>
      </w:r>
      <w:proofErr w:type="spellStart"/>
      <w:r>
        <w:rPr>
          <w:rFonts w:ascii="Times New Roman" w:hAnsi="Times New Roman" w:cs="Times New Roman"/>
          <w:sz w:val="24"/>
          <w:szCs w:val="24"/>
        </w:rPr>
        <w:t>motors</w:t>
      </w:r>
      <w:proofErr w:type="spellEnd"/>
      <w:r>
        <w:rPr>
          <w:rFonts w:ascii="Times New Roman" w:hAnsi="Times New Roman" w:cs="Times New Roman"/>
          <w:sz w:val="24"/>
          <w:szCs w:val="24"/>
        </w:rPr>
        <w:t xml:space="preserve"> limited uses (LIFO) last in first out method to handle their inventory ,this means that the last inventory to be manufactured or shipped in is the first one to be sold or taken to market.</w:t>
      </w:r>
    </w:p>
    <w:p w:rsidR="00883670" w:rsidRDefault="00883670" w:rsidP="00883670">
      <w:pPr>
        <w:rPr>
          <w:rFonts w:ascii="Times New Roman" w:hAnsi="Times New Roman" w:cs="Times New Roman"/>
          <w:sz w:val="24"/>
          <w:szCs w:val="24"/>
        </w:rPr>
      </w:pPr>
      <w:r>
        <w:rPr>
          <w:rFonts w:ascii="Times New Roman" w:hAnsi="Times New Roman" w:cs="Times New Roman"/>
          <w:sz w:val="24"/>
          <w:szCs w:val="24"/>
        </w:rPr>
        <w:t>-turnover ratio for the past three months was 0.13, this means that for every 1$ worth of assets 0.13$ of revenue is generated.</w:t>
      </w:r>
    </w:p>
    <w:p w:rsidR="00883670" w:rsidRDefault="00883670" w:rsidP="00883670">
      <w:pPr>
        <w:rPr>
          <w:rFonts w:ascii="Times New Roman" w:hAnsi="Times New Roman" w:cs="Times New Roman"/>
          <w:sz w:val="24"/>
          <w:szCs w:val="24"/>
        </w:rPr>
      </w:pPr>
      <w:r>
        <w:rPr>
          <w:rFonts w:ascii="Times New Roman" w:hAnsi="Times New Roman" w:cs="Times New Roman"/>
          <w:sz w:val="24"/>
          <w:szCs w:val="24"/>
        </w:rPr>
        <w:t xml:space="preserve">-Inventory turnover ratio for general </w:t>
      </w:r>
      <w:proofErr w:type="spellStart"/>
      <w:r>
        <w:rPr>
          <w:rFonts w:ascii="Times New Roman" w:hAnsi="Times New Roman" w:cs="Times New Roman"/>
          <w:sz w:val="24"/>
          <w:szCs w:val="24"/>
        </w:rPr>
        <w:t>motors</w:t>
      </w:r>
      <w:proofErr w:type="spellEnd"/>
      <w:r>
        <w:rPr>
          <w:rFonts w:ascii="Times New Roman" w:hAnsi="Times New Roman" w:cs="Times New Roman"/>
          <w:sz w:val="24"/>
          <w:szCs w:val="24"/>
        </w:rPr>
        <w:t xml:space="preserve"> was 2.79 for the past three months, this shows that the company sold and replaced their stocks 2 times within the past three months.</w:t>
      </w:r>
    </w:p>
    <w:p w:rsidR="00883670" w:rsidRDefault="00883670" w:rsidP="00883670">
      <w:pPr>
        <w:rPr>
          <w:rFonts w:ascii="Times New Roman" w:hAnsi="Times New Roman" w:cs="Times New Roman"/>
          <w:sz w:val="24"/>
          <w:szCs w:val="24"/>
        </w:rPr>
      </w:pPr>
      <w:r>
        <w:rPr>
          <w:rFonts w:ascii="Times New Roman" w:hAnsi="Times New Roman" w:cs="Times New Roman"/>
          <w:sz w:val="24"/>
          <w:szCs w:val="24"/>
        </w:rPr>
        <w:t xml:space="preserve">-General </w:t>
      </w:r>
      <w:proofErr w:type="spellStart"/>
      <w:r>
        <w:rPr>
          <w:rFonts w:ascii="Times New Roman" w:hAnsi="Times New Roman" w:cs="Times New Roman"/>
          <w:sz w:val="24"/>
          <w:szCs w:val="24"/>
        </w:rPr>
        <w:t>motors</w:t>
      </w:r>
      <w:proofErr w:type="spellEnd"/>
      <w:r>
        <w:rPr>
          <w:rFonts w:ascii="Times New Roman" w:hAnsi="Times New Roman" w:cs="Times New Roman"/>
          <w:sz w:val="24"/>
          <w:szCs w:val="24"/>
        </w:rPr>
        <w:t xml:space="preserve"> has a number of fixed assets including property, plant and equipment that was valued at 38750.They use straight line method to depreciate their assets ,the depreciation expense for the year was 6541. </w:t>
      </w:r>
    </w:p>
    <w:p w:rsidR="00883670" w:rsidRDefault="00883670" w:rsidP="00883670">
      <w:pPr>
        <w:rPr>
          <w:rFonts w:ascii="Times New Roman" w:hAnsi="Times New Roman" w:cs="Times New Roman"/>
          <w:sz w:val="24"/>
          <w:szCs w:val="24"/>
        </w:rPr>
      </w:pPr>
    </w:p>
    <w:p w:rsidR="00883670" w:rsidRPr="009521A8" w:rsidRDefault="00883670" w:rsidP="00883670">
      <w:pPr>
        <w:rPr>
          <w:rFonts w:ascii="Times New Roman" w:hAnsi="Times New Roman" w:cs="Times New Roman"/>
          <w:sz w:val="24"/>
          <w:szCs w:val="24"/>
        </w:rPr>
      </w:pPr>
      <w:r w:rsidRPr="00757600">
        <w:rPr>
          <w:rFonts w:ascii="Times New Roman" w:hAnsi="Times New Roman" w:cs="Times New Roman"/>
          <w:sz w:val="24"/>
          <w:szCs w:val="24"/>
          <w:u w:val="single"/>
        </w:rPr>
        <w:t>Income statement</w:t>
      </w:r>
    </w:p>
    <w:p w:rsidR="00D941AF" w:rsidRDefault="00883670" w:rsidP="00883670">
      <w:pPr>
        <w:rPr>
          <w:rFonts w:ascii="Times New Roman" w:hAnsi="Times New Roman" w:cs="Times New Roman"/>
          <w:sz w:val="24"/>
          <w:szCs w:val="24"/>
        </w:rPr>
      </w:pPr>
      <w:r>
        <w:rPr>
          <w:rFonts w:ascii="Times New Roman" w:hAnsi="Times New Roman" w:cs="Times New Roman"/>
          <w:sz w:val="24"/>
          <w:szCs w:val="24"/>
        </w:rPr>
        <w:t>An income statement is used to track expenses and revenues so one can determine the operating position of a business within a particular period of time, it is used to convey details of profitability of a business</w:t>
      </w:r>
      <w:r w:rsidR="009521A8">
        <w:rPr>
          <w:rFonts w:ascii="Times New Roman" w:hAnsi="Times New Roman" w:cs="Times New Roman"/>
          <w:sz w:val="24"/>
          <w:szCs w:val="24"/>
        </w:rPr>
        <w:t>.</w:t>
      </w:r>
    </w:p>
    <w:p w:rsidR="009521A8" w:rsidRDefault="009521A8" w:rsidP="007E750C">
      <w:pPr>
        <w:rPr>
          <w:rFonts w:ascii="Times New Roman" w:hAnsi="Times New Roman" w:cs="Times New Roman"/>
          <w:sz w:val="24"/>
          <w:szCs w:val="24"/>
        </w:rPr>
      </w:pPr>
      <w:r>
        <w:rPr>
          <w:rFonts w:ascii="Times New Roman" w:hAnsi="Times New Roman" w:cs="Times New Roman"/>
          <w:sz w:val="24"/>
          <w:szCs w:val="24"/>
        </w:rPr>
        <w:t>Revenue=13723</w:t>
      </w:r>
    </w:p>
    <w:p w:rsidR="00567106" w:rsidRDefault="009521A8" w:rsidP="007E750C">
      <w:pPr>
        <w:rPr>
          <w:rFonts w:ascii="Times New Roman" w:hAnsi="Times New Roman" w:cs="Times New Roman"/>
          <w:sz w:val="24"/>
          <w:szCs w:val="24"/>
        </w:rPr>
      </w:pPr>
      <w:r>
        <w:rPr>
          <w:rFonts w:ascii="Times New Roman" w:hAnsi="Times New Roman" w:cs="Times New Roman"/>
          <w:sz w:val="24"/>
          <w:szCs w:val="24"/>
        </w:rPr>
        <w:t>Gross profit=13972</w:t>
      </w:r>
    </w:p>
    <w:p w:rsidR="009521A8" w:rsidRDefault="009521A8" w:rsidP="007E750C">
      <w:pPr>
        <w:rPr>
          <w:rFonts w:ascii="Times New Roman" w:hAnsi="Times New Roman" w:cs="Times New Roman"/>
          <w:sz w:val="24"/>
          <w:szCs w:val="24"/>
        </w:rPr>
      </w:pPr>
      <w:r>
        <w:rPr>
          <w:rFonts w:ascii="Times New Roman" w:hAnsi="Times New Roman" w:cs="Times New Roman"/>
          <w:sz w:val="24"/>
          <w:szCs w:val="24"/>
        </w:rPr>
        <w:t>Net income=6581</w:t>
      </w:r>
    </w:p>
    <w:p w:rsidR="009521A8" w:rsidRDefault="009521A8" w:rsidP="007E750C">
      <w:pPr>
        <w:rPr>
          <w:rFonts w:ascii="Times New Roman" w:hAnsi="Times New Roman" w:cs="Times New Roman"/>
          <w:sz w:val="24"/>
          <w:szCs w:val="24"/>
        </w:rPr>
      </w:pPr>
    </w:p>
    <w:p w:rsidR="009521A8" w:rsidRDefault="009521A8" w:rsidP="007E750C">
      <w:pPr>
        <w:rPr>
          <w:rFonts w:ascii="Times New Roman" w:hAnsi="Times New Roman" w:cs="Times New Roman"/>
          <w:sz w:val="24"/>
          <w:szCs w:val="24"/>
        </w:rPr>
      </w:pPr>
      <w:r>
        <w:rPr>
          <w:rFonts w:ascii="Times New Roman" w:hAnsi="Times New Roman" w:cs="Times New Roman"/>
          <w:sz w:val="24"/>
          <w:szCs w:val="24"/>
        </w:rPr>
        <w:t xml:space="preserve">                             General </w:t>
      </w:r>
      <w:proofErr w:type="spellStart"/>
      <w:r>
        <w:rPr>
          <w:rFonts w:ascii="Times New Roman" w:hAnsi="Times New Roman" w:cs="Times New Roman"/>
          <w:sz w:val="24"/>
          <w:szCs w:val="24"/>
        </w:rPr>
        <w:t>motors</w:t>
      </w:r>
      <w:proofErr w:type="spellEnd"/>
      <w:r>
        <w:rPr>
          <w:rFonts w:ascii="Times New Roman" w:hAnsi="Times New Roman" w:cs="Times New Roman"/>
          <w:sz w:val="24"/>
          <w:szCs w:val="24"/>
        </w:rPr>
        <w:t xml:space="preserve"> limited</w:t>
      </w:r>
    </w:p>
    <w:p w:rsidR="009521A8" w:rsidRDefault="009521A8" w:rsidP="007E750C">
      <w:pPr>
        <w:rPr>
          <w:rFonts w:ascii="Times New Roman" w:hAnsi="Times New Roman" w:cs="Times New Roman"/>
          <w:sz w:val="24"/>
          <w:szCs w:val="24"/>
        </w:rPr>
      </w:pPr>
      <w:r>
        <w:rPr>
          <w:rFonts w:ascii="Times New Roman" w:hAnsi="Times New Roman" w:cs="Times New Roman"/>
          <w:sz w:val="24"/>
          <w:szCs w:val="24"/>
        </w:rPr>
        <w:t xml:space="preserve">                      Common-size income statement</w:t>
      </w:r>
    </w:p>
    <w:p w:rsidR="009521A8" w:rsidRDefault="009521A8" w:rsidP="007E750C">
      <w:pPr>
        <w:rPr>
          <w:rFonts w:ascii="Times New Roman" w:hAnsi="Times New Roman" w:cs="Times New Roman"/>
          <w:sz w:val="24"/>
          <w:szCs w:val="24"/>
        </w:rPr>
      </w:pPr>
      <w:r>
        <w:rPr>
          <w:rFonts w:ascii="Times New Roman" w:hAnsi="Times New Roman" w:cs="Times New Roman"/>
          <w:sz w:val="24"/>
          <w:szCs w:val="24"/>
        </w:rPr>
        <w:t xml:space="preserve">                   For the year ended December 31 2019</w:t>
      </w:r>
    </w:p>
    <w:p w:rsidR="009521A8" w:rsidRDefault="009521A8" w:rsidP="007E750C">
      <w:pPr>
        <w:rPr>
          <w:rFonts w:ascii="Times New Roman" w:hAnsi="Times New Roman" w:cs="Times New Roman"/>
          <w:sz w:val="24"/>
          <w:szCs w:val="24"/>
        </w:rPr>
      </w:pPr>
    </w:p>
    <w:tbl>
      <w:tblPr>
        <w:tblW w:w="5620" w:type="dxa"/>
        <w:tblInd w:w="86" w:type="dxa"/>
        <w:tblLook w:val="04A0"/>
      </w:tblPr>
      <w:tblGrid>
        <w:gridCol w:w="3700"/>
        <w:gridCol w:w="960"/>
        <w:gridCol w:w="960"/>
      </w:tblGrid>
      <w:tr w:rsidR="00287A7B" w:rsidRPr="00287A7B" w:rsidTr="00287A7B">
        <w:trPr>
          <w:trHeight w:val="300"/>
        </w:trPr>
        <w:tc>
          <w:tcPr>
            <w:tcW w:w="370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revenue</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137237</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100%</w:t>
            </w:r>
          </w:p>
        </w:tc>
      </w:tr>
      <w:tr w:rsidR="00287A7B" w:rsidRPr="00287A7B" w:rsidTr="00287A7B">
        <w:trPr>
          <w:trHeight w:val="300"/>
        </w:trPr>
        <w:tc>
          <w:tcPr>
            <w:tcW w:w="370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cost of goods sold</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123265</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89.82%</w:t>
            </w:r>
          </w:p>
        </w:tc>
      </w:tr>
      <w:tr w:rsidR="00287A7B" w:rsidRPr="00287A7B" w:rsidTr="00287A7B">
        <w:trPr>
          <w:trHeight w:val="300"/>
        </w:trPr>
        <w:tc>
          <w:tcPr>
            <w:tcW w:w="370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gross profit</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13972</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10.18%</w:t>
            </w:r>
          </w:p>
        </w:tc>
      </w:tr>
      <w:tr w:rsidR="00287A7B" w:rsidRPr="00287A7B" w:rsidTr="00287A7B">
        <w:trPr>
          <w:trHeight w:val="300"/>
        </w:trPr>
        <w:tc>
          <w:tcPr>
            <w:tcW w:w="370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research and development expense</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w:t>
            </w:r>
          </w:p>
        </w:tc>
      </w:tr>
      <w:tr w:rsidR="00287A7B" w:rsidRPr="00287A7B" w:rsidTr="00287A7B">
        <w:trPr>
          <w:trHeight w:val="300"/>
        </w:trPr>
        <w:tc>
          <w:tcPr>
            <w:tcW w:w="370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SG&amp;A expense</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8491</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6.19%</w:t>
            </w:r>
          </w:p>
        </w:tc>
      </w:tr>
      <w:tr w:rsidR="00287A7B" w:rsidRPr="00287A7B" w:rsidTr="00287A7B">
        <w:trPr>
          <w:trHeight w:val="300"/>
        </w:trPr>
        <w:tc>
          <w:tcPr>
            <w:tcW w:w="370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other operating income or expense</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w:t>
            </w:r>
          </w:p>
        </w:tc>
      </w:tr>
      <w:tr w:rsidR="00287A7B" w:rsidRPr="00287A7B" w:rsidTr="00287A7B">
        <w:trPr>
          <w:trHeight w:val="300"/>
        </w:trPr>
        <w:tc>
          <w:tcPr>
            <w:tcW w:w="370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operating expense</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131756</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96.00%</w:t>
            </w:r>
          </w:p>
        </w:tc>
      </w:tr>
      <w:tr w:rsidR="00287A7B" w:rsidRPr="00287A7B" w:rsidTr="00287A7B">
        <w:trPr>
          <w:trHeight w:val="300"/>
        </w:trPr>
        <w:tc>
          <w:tcPr>
            <w:tcW w:w="370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operating income</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5481</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4%</w:t>
            </w:r>
          </w:p>
        </w:tc>
      </w:tr>
      <w:tr w:rsidR="00287A7B" w:rsidRPr="00287A7B" w:rsidTr="00287A7B">
        <w:trPr>
          <w:trHeight w:val="300"/>
        </w:trPr>
        <w:tc>
          <w:tcPr>
            <w:tcW w:w="370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total operating income /expense</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686</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0.50%</w:t>
            </w:r>
          </w:p>
        </w:tc>
      </w:tr>
      <w:tr w:rsidR="00287A7B" w:rsidRPr="00287A7B" w:rsidTr="00287A7B">
        <w:trPr>
          <w:trHeight w:val="300"/>
        </w:trPr>
        <w:tc>
          <w:tcPr>
            <w:tcW w:w="370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pretax income</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6168</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4.50%</w:t>
            </w:r>
          </w:p>
        </w:tc>
      </w:tr>
      <w:tr w:rsidR="00287A7B" w:rsidRPr="00287A7B" w:rsidTr="00287A7B">
        <w:trPr>
          <w:trHeight w:val="300"/>
        </w:trPr>
        <w:tc>
          <w:tcPr>
            <w:tcW w:w="370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income tax</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769</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0.56%</w:t>
            </w:r>
          </w:p>
        </w:tc>
      </w:tr>
      <w:tr w:rsidR="00287A7B" w:rsidRPr="00287A7B" w:rsidTr="00287A7B">
        <w:trPr>
          <w:trHeight w:val="300"/>
        </w:trPr>
        <w:tc>
          <w:tcPr>
            <w:tcW w:w="370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income after tax</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5399</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3.93%</w:t>
            </w:r>
          </w:p>
        </w:tc>
      </w:tr>
      <w:tr w:rsidR="00287A7B" w:rsidRPr="00287A7B" w:rsidTr="00287A7B">
        <w:trPr>
          <w:trHeight w:val="300"/>
        </w:trPr>
        <w:tc>
          <w:tcPr>
            <w:tcW w:w="370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other income</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w:t>
            </w:r>
          </w:p>
        </w:tc>
      </w:tr>
      <w:tr w:rsidR="00287A7B" w:rsidRPr="00287A7B" w:rsidTr="00287A7B">
        <w:trPr>
          <w:trHeight w:val="300"/>
        </w:trPr>
        <w:tc>
          <w:tcPr>
            <w:tcW w:w="370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income from continuous operations</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6667</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4.86%</w:t>
            </w:r>
          </w:p>
        </w:tc>
      </w:tr>
      <w:tr w:rsidR="00287A7B" w:rsidRPr="00287A7B" w:rsidTr="00287A7B">
        <w:trPr>
          <w:trHeight w:val="300"/>
        </w:trPr>
        <w:tc>
          <w:tcPr>
            <w:tcW w:w="370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income from discontinued operations</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p>
        </w:tc>
      </w:tr>
      <w:tr w:rsidR="00287A7B" w:rsidRPr="00287A7B" w:rsidTr="00287A7B">
        <w:trPr>
          <w:trHeight w:val="300"/>
        </w:trPr>
        <w:tc>
          <w:tcPr>
            <w:tcW w:w="370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rPr>
                <w:rFonts w:ascii="Calibri" w:eastAsia="Times New Roman" w:hAnsi="Calibri" w:cs="Calibri"/>
                <w:color w:val="000000"/>
              </w:rPr>
            </w:pPr>
            <w:r w:rsidRPr="00287A7B">
              <w:rPr>
                <w:rFonts w:ascii="Calibri" w:eastAsia="Times New Roman" w:hAnsi="Calibri" w:cs="Calibri"/>
                <w:color w:val="000000"/>
              </w:rPr>
              <w:t xml:space="preserve">net income </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6581</w:t>
            </w:r>
          </w:p>
        </w:tc>
        <w:tc>
          <w:tcPr>
            <w:tcW w:w="960" w:type="dxa"/>
            <w:tcBorders>
              <w:top w:val="nil"/>
              <w:left w:val="nil"/>
              <w:bottom w:val="nil"/>
              <w:right w:val="nil"/>
            </w:tcBorders>
            <w:shd w:val="clear" w:color="auto" w:fill="auto"/>
            <w:noWrap/>
            <w:vAlign w:val="bottom"/>
            <w:hideMark/>
          </w:tcPr>
          <w:p w:rsidR="00287A7B" w:rsidRPr="00287A7B" w:rsidRDefault="00287A7B" w:rsidP="00287A7B">
            <w:pPr>
              <w:spacing w:after="0" w:line="240" w:lineRule="auto"/>
              <w:jc w:val="right"/>
              <w:rPr>
                <w:rFonts w:ascii="Calibri" w:eastAsia="Times New Roman" w:hAnsi="Calibri" w:cs="Calibri"/>
                <w:color w:val="000000"/>
              </w:rPr>
            </w:pPr>
            <w:r w:rsidRPr="00287A7B">
              <w:rPr>
                <w:rFonts w:ascii="Calibri" w:eastAsia="Times New Roman" w:hAnsi="Calibri" w:cs="Calibri"/>
                <w:color w:val="000000"/>
              </w:rPr>
              <w:t>4.79%</w:t>
            </w:r>
          </w:p>
        </w:tc>
      </w:tr>
    </w:tbl>
    <w:p w:rsidR="009521A8" w:rsidRDefault="009521A8" w:rsidP="007E750C">
      <w:pPr>
        <w:rPr>
          <w:rFonts w:ascii="Times New Roman" w:hAnsi="Times New Roman" w:cs="Times New Roman"/>
          <w:sz w:val="24"/>
          <w:szCs w:val="24"/>
        </w:rPr>
      </w:pPr>
    </w:p>
    <w:p w:rsidR="006E5B86" w:rsidRDefault="006E5B86" w:rsidP="007E750C">
      <w:pPr>
        <w:rPr>
          <w:rFonts w:ascii="Times New Roman" w:hAnsi="Times New Roman" w:cs="Times New Roman"/>
          <w:sz w:val="24"/>
          <w:szCs w:val="24"/>
        </w:rPr>
      </w:pPr>
      <w:r>
        <w:rPr>
          <w:rFonts w:ascii="Times New Roman" w:hAnsi="Times New Roman" w:cs="Times New Roman"/>
          <w:sz w:val="24"/>
          <w:szCs w:val="24"/>
        </w:rPr>
        <w:t>-To compute the common-size income statement we take the values as a percentage of revenue</w:t>
      </w:r>
    </w:p>
    <w:p w:rsidR="006E5B86" w:rsidRDefault="006E5B86" w:rsidP="007E750C">
      <w:pPr>
        <w:rPr>
          <w:rFonts w:ascii="Times New Roman" w:eastAsiaTheme="minorEastAsia"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I.e.:</w:t>
      </w:r>
      <w:r w:rsidR="00DD056F">
        <w:rPr>
          <w:rFonts w:ascii="Times New Roman" w:hAnsi="Times New Roman" w:cs="Times New Roman"/>
          <w:sz w:val="24"/>
          <w:szCs w:val="24"/>
        </w:rPr>
        <w:t>SG&amp;A</w:t>
      </w:r>
      <w:proofErr w:type="spellEnd"/>
      <w:r w:rsidR="00DD056F">
        <w:rPr>
          <w:rFonts w:ascii="Times New Roman" w:hAnsi="Times New Roman" w:cs="Times New Roman"/>
          <w:sz w:val="24"/>
          <w:szCs w:val="24"/>
        </w:rPr>
        <w:t>/revenue</w:t>
      </w:r>
    </w:p>
    <w:p w:rsidR="00883670" w:rsidRPr="00883670" w:rsidRDefault="006E5B86" w:rsidP="00883670">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00883670" w:rsidRPr="00883670">
        <w:rPr>
          <w:rFonts w:ascii="Times New Roman" w:eastAsiaTheme="minorEastAsia" w:hAnsi="Times New Roman" w:cs="Times New Roman"/>
          <w:sz w:val="24"/>
          <w:szCs w:val="24"/>
        </w:rPr>
        <w:t>-There are no special items on the income statement.</w:t>
      </w:r>
    </w:p>
    <w:p w:rsidR="006E5B86" w:rsidRDefault="00883670" w:rsidP="00883670">
      <w:pPr>
        <w:rPr>
          <w:rFonts w:ascii="Times New Roman" w:eastAsiaTheme="minorEastAsia" w:hAnsi="Times New Roman" w:cs="Times New Roman"/>
          <w:sz w:val="24"/>
          <w:szCs w:val="24"/>
        </w:rPr>
      </w:pPr>
      <w:r w:rsidRPr="00883670">
        <w:rPr>
          <w:rFonts w:ascii="Times New Roman" w:eastAsiaTheme="minorEastAsia" w:hAnsi="Times New Roman" w:cs="Times New Roman"/>
          <w:sz w:val="24"/>
          <w:szCs w:val="24"/>
        </w:rPr>
        <w:t>-Revenue recognition-Revenue is recognized when a customer obtains control of the goods rather than when we have transferred subst5antially all the risk and rewards of a good or service, by applying the modified retrospective method to all non-complete contracts as of the date of adoption.</w:t>
      </w:r>
    </w:p>
    <w:p w:rsidR="006E5B86" w:rsidRDefault="006E5B86" w:rsidP="007E750C">
      <w:pPr>
        <w:rPr>
          <w:rFonts w:ascii="Times New Roman" w:hAnsi="Times New Roman" w:cs="Times New Roman"/>
          <w:sz w:val="24"/>
          <w:szCs w:val="24"/>
        </w:rPr>
      </w:pPr>
    </w:p>
    <w:p w:rsidR="006E5B86" w:rsidRDefault="006E5B86" w:rsidP="007E750C">
      <w:pPr>
        <w:rPr>
          <w:rFonts w:ascii="Times New Roman" w:hAnsi="Times New Roman" w:cs="Times New Roman"/>
          <w:sz w:val="24"/>
          <w:szCs w:val="24"/>
        </w:rPr>
      </w:pPr>
    </w:p>
    <w:p w:rsidR="006E5B86" w:rsidRDefault="006E5B86" w:rsidP="007E750C">
      <w:pPr>
        <w:rPr>
          <w:rFonts w:ascii="Times New Roman" w:hAnsi="Times New Roman" w:cs="Times New Roman"/>
          <w:sz w:val="24"/>
          <w:szCs w:val="24"/>
        </w:rPr>
      </w:pPr>
    </w:p>
    <w:p w:rsidR="006E5B86" w:rsidRDefault="006E5B86" w:rsidP="007E750C">
      <w:pPr>
        <w:rPr>
          <w:rFonts w:ascii="Times New Roman" w:hAnsi="Times New Roman" w:cs="Times New Roman"/>
          <w:sz w:val="24"/>
          <w:szCs w:val="24"/>
        </w:rPr>
      </w:pPr>
    </w:p>
    <w:p w:rsidR="006E5B86" w:rsidRDefault="006E5B86" w:rsidP="007E750C">
      <w:pPr>
        <w:rPr>
          <w:rFonts w:ascii="Times New Roman" w:hAnsi="Times New Roman" w:cs="Times New Roman"/>
          <w:sz w:val="24"/>
          <w:szCs w:val="24"/>
        </w:rPr>
      </w:pPr>
    </w:p>
    <w:p w:rsidR="006E5B86" w:rsidRDefault="006E5B86" w:rsidP="007E750C">
      <w:pPr>
        <w:rPr>
          <w:rFonts w:ascii="Times New Roman" w:hAnsi="Times New Roman" w:cs="Times New Roman"/>
          <w:sz w:val="24"/>
          <w:szCs w:val="24"/>
          <w:u w:val="single"/>
        </w:rPr>
      </w:pPr>
      <w:r w:rsidRPr="006E5B86">
        <w:rPr>
          <w:rFonts w:ascii="Times New Roman" w:hAnsi="Times New Roman" w:cs="Times New Roman"/>
          <w:sz w:val="24"/>
          <w:szCs w:val="24"/>
          <w:u w:val="single"/>
        </w:rPr>
        <w:t>Statement of cash flow</w:t>
      </w:r>
    </w:p>
    <w:p w:rsidR="006E5B86" w:rsidRPr="006E5B86" w:rsidRDefault="006E5B86" w:rsidP="007E750C">
      <w:pPr>
        <w:rPr>
          <w:rFonts w:ascii="Times New Roman" w:hAnsi="Times New Roman" w:cs="Times New Roman"/>
          <w:sz w:val="24"/>
          <w:szCs w:val="24"/>
        </w:rPr>
      </w:pPr>
      <w:r>
        <w:rPr>
          <w:rFonts w:ascii="Times New Roman" w:hAnsi="Times New Roman" w:cs="Times New Roman"/>
          <w:sz w:val="24"/>
          <w:szCs w:val="24"/>
        </w:rPr>
        <w:t>Cash flow operating activities=15021</w:t>
      </w:r>
    </w:p>
    <w:p w:rsidR="006E5B86" w:rsidRDefault="006E5B86" w:rsidP="007E750C">
      <w:pPr>
        <w:rPr>
          <w:rFonts w:ascii="Times New Roman" w:hAnsi="Times New Roman" w:cs="Times New Roman"/>
          <w:sz w:val="24"/>
          <w:szCs w:val="24"/>
        </w:rPr>
      </w:pPr>
      <w:r>
        <w:rPr>
          <w:rFonts w:ascii="Times New Roman" w:hAnsi="Times New Roman" w:cs="Times New Roman"/>
          <w:sz w:val="24"/>
          <w:szCs w:val="24"/>
        </w:rPr>
        <w:t>Cash flow investing activities= -10899</w:t>
      </w:r>
    </w:p>
    <w:p w:rsidR="006E5B86" w:rsidRDefault="006E5B86" w:rsidP="007E750C">
      <w:pPr>
        <w:rPr>
          <w:rFonts w:ascii="Times New Roman" w:hAnsi="Times New Roman" w:cs="Times New Roman"/>
          <w:sz w:val="24"/>
          <w:szCs w:val="24"/>
        </w:rPr>
      </w:pPr>
      <w:r>
        <w:rPr>
          <w:rFonts w:ascii="Times New Roman" w:hAnsi="Times New Roman" w:cs="Times New Roman"/>
          <w:sz w:val="24"/>
          <w:szCs w:val="24"/>
        </w:rPr>
        <w:t>Cash flow financing activities= -4677</w:t>
      </w:r>
    </w:p>
    <w:p w:rsidR="00883670" w:rsidRPr="00883670" w:rsidRDefault="00883670" w:rsidP="00883670">
      <w:pPr>
        <w:rPr>
          <w:rFonts w:ascii="Times New Roman" w:hAnsi="Times New Roman" w:cs="Times New Roman"/>
          <w:sz w:val="24"/>
          <w:szCs w:val="24"/>
        </w:rPr>
      </w:pPr>
      <w:r w:rsidRPr="00883670">
        <w:rPr>
          <w:rFonts w:ascii="Times New Roman" w:hAnsi="Times New Roman" w:cs="Times New Roman"/>
          <w:sz w:val="24"/>
          <w:szCs w:val="24"/>
        </w:rPr>
        <w:t xml:space="preserve">-Major financing activity during the year was debt issuance with the highest total of -2531 </w:t>
      </w:r>
    </w:p>
    <w:p w:rsidR="00883670" w:rsidRPr="00883670" w:rsidRDefault="00883670" w:rsidP="00883670">
      <w:pPr>
        <w:rPr>
          <w:rFonts w:ascii="Times New Roman" w:hAnsi="Times New Roman" w:cs="Times New Roman"/>
          <w:sz w:val="24"/>
          <w:szCs w:val="24"/>
        </w:rPr>
      </w:pPr>
      <w:r w:rsidRPr="00883670">
        <w:rPr>
          <w:rFonts w:ascii="Times New Roman" w:hAnsi="Times New Roman" w:cs="Times New Roman"/>
          <w:sz w:val="24"/>
          <w:szCs w:val="24"/>
        </w:rPr>
        <w:t>-Major investing activity that took place during the year was net change in short term investment with the highest total of -22348</w:t>
      </w:r>
    </w:p>
    <w:p w:rsidR="00883670" w:rsidRPr="00883670" w:rsidRDefault="00883670" w:rsidP="00883670">
      <w:pPr>
        <w:rPr>
          <w:rFonts w:ascii="Times New Roman" w:hAnsi="Times New Roman" w:cs="Times New Roman"/>
          <w:sz w:val="24"/>
          <w:szCs w:val="24"/>
        </w:rPr>
      </w:pPr>
      <w:r w:rsidRPr="00883670">
        <w:rPr>
          <w:rFonts w:ascii="Times New Roman" w:hAnsi="Times New Roman" w:cs="Times New Roman"/>
          <w:sz w:val="24"/>
          <w:szCs w:val="24"/>
        </w:rPr>
        <w:t>-There are negative cash flow totals; that for investing activities-10899</w:t>
      </w:r>
    </w:p>
    <w:p w:rsidR="00883670" w:rsidRPr="00883670" w:rsidRDefault="00883670" w:rsidP="00883670">
      <w:pPr>
        <w:rPr>
          <w:rFonts w:ascii="Times New Roman" w:hAnsi="Times New Roman" w:cs="Times New Roman"/>
          <w:sz w:val="24"/>
          <w:szCs w:val="24"/>
        </w:rPr>
      </w:pPr>
      <w:r w:rsidRPr="00883670">
        <w:rPr>
          <w:rFonts w:ascii="Times New Roman" w:hAnsi="Times New Roman" w:cs="Times New Roman"/>
          <w:sz w:val="24"/>
          <w:szCs w:val="24"/>
        </w:rPr>
        <w:t xml:space="preserve">                                                             That for financing activities-4677</w:t>
      </w:r>
    </w:p>
    <w:p w:rsidR="00883670" w:rsidRPr="00883670" w:rsidRDefault="00883670" w:rsidP="00883670">
      <w:pPr>
        <w:rPr>
          <w:rFonts w:ascii="Times New Roman" w:hAnsi="Times New Roman" w:cs="Times New Roman"/>
          <w:sz w:val="24"/>
          <w:szCs w:val="24"/>
        </w:rPr>
      </w:pPr>
      <w:r w:rsidRPr="00883670">
        <w:rPr>
          <w:rFonts w:ascii="Times New Roman" w:hAnsi="Times New Roman" w:cs="Times New Roman"/>
          <w:sz w:val="24"/>
          <w:szCs w:val="24"/>
        </w:rPr>
        <w:t>The negative cash flow totals impact the company’s sustainability negatively as it cannot cover its expenses from sales alone hence will have to pull money from investments and financing to make up for the difference</w:t>
      </w:r>
    </w:p>
    <w:p w:rsidR="00883670" w:rsidRDefault="00883670" w:rsidP="00883670">
      <w:pPr>
        <w:pStyle w:val="NormalWeb"/>
        <w:spacing w:before="0" w:beforeAutospacing="0" w:after="0" w:afterAutospacing="0"/>
        <w:rPr>
          <w:color w:val="0E101A"/>
        </w:rPr>
      </w:pPr>
      <w:r>
        <w:rPr>
          <w:color w:val="0E101A"/>
          <w:u w:val="single"/>
        </w:rPr>
        <w:t>Management discussion and analysis</w:t>
      </w:r>
    </w:p>
    <w:p w:rsidR="00883670" w:rsidRDefault="00883670" w:rsidP="00883670">
      <w:pPr>
        <w:pStyle w:val="NormalWeb"/>
        <w:spacing w:before="0" w:beforeAutospacing="0" w:after="0" w:afterAutospacing="0"/>
        <w:rPr>
          <w:color w:val="0E101A"/>
        </w:rPr>
      </w:pPr>
      <w:r>
        <w:rPr>
          <w:color w:val="0E101A"/>
        </w:rPr>
        <w:t>Some of the topics discussed in the MD&amp;A include:</w:t>
      </w:r>
    </w:p>
    <w:p w:rsidR="00883670" w:rsidRDefault="00883670" w:rsidP="00883670">
      <w:pPr>
        <w:pStyle w:val="NormalWeb"/>
        <w:spacing w:before="0" w:beforeAutospacing="0" w:after="0" w:afterAutospacing="0"/>
        <w:rPr>
          <w:rStyle w:val="Emphasis"/>
          <w:b/>
          <w:bCs/>
          <w:color w:val="0E101A"/>
        </w:rPr>
      </w:pPr>
    </w:p>
    <w:p w:rsidR="00883670" w:rsidRDefault="00883670" w:rsidP="00883670">
      <w:pPr>
        <w:pStyle w:val="NormalWeb"/>
        <w:spacing w:before="0" w:beforeAutospacing="0" w:after="0" w:afterAutospacing="0"/>
        <w:rPr>
          <w:rStyle w:val="Emphasis"/>
          <w:b/>
          <w:bCs/>
          <w:color w:val="0E101A"/>
        </w:rPr>
      </w:pPr>
      <w:r>
        <w:rPr>
          <w:rStyle w:val="Emphasis"/>
          <w:b/>
          <w:bCs/>
          <w:color w:val="0E101A"/>
        </w:rPr>
        <w:t>ETR-adjusted </w:t>
      </w:r>
      <w:r>
        <w:rPr>
          <w:color w:val="0E101A"/>
        </w:rPr>
        <w:t xml:space="preserve">ETR-adjusted is used by management and can be used by investors to review the consolidated effective tax rate for our core operations consistently. ETR-adjusted is calculated as Income tax expense less the income tax related to the adjustments noted above for EBIT-adjusted and the income tax adjustments noted above for EPS-diluted-adjusted divided by Income before income taxes less adjustments. </w:t>
      </w:r>
    </w:p>
    <w:p w:rsidR="00883670" w:rsidRDefault="00883670" w:rsidP="00883670">
      <w:pPr>
        <w:pStyle w:val="NormalWeb"/>
        <w:spacing w:before="0" w:beforeAutospacing="0" w:after="0" w:afterAutospacing="0"/>
        <w:rPr>
          <w:rStyle w:val="Emphasis"/>
          <w:b/>
          <w:bCs/>
          <w:color w:val="0E101A"/>
        </w:rPr>
      </w:pPr>
    </w:p>
    <w:p w:rsidR="00883670" w:rsidRDefault="00883670" w:rsidP="00883670">
      <w:pPr>
        <w:pStyle w:val="NormalWeb"/>
        <w:spacing w:before="0" w:beforeAutospacing="0" w:after="0" w:afterAutospacing="0"/>
        <w:rPr>
          <w:rStyle w:val="Emphasis"/>
          <w:b/>
          <w:bCs/>
          <w:color w:val="0E101A"/>
        </w:rPr>
      </w:pPr>
      <w:r>
        <w:rPr>
          <w:rStyle w:val="Emphasis"/>
          <w:b/>
          <w:bCs/>
          <w:color w:val="0E101A"/>
        </w:rPr>
        <w:t>EPS-diluted-adjusted </w:t>
      </w:r>
      <w:r>
        <w:rPr>
          <w:color w:val="0E101A"/>
        </w:rPr>
        <w:t xml:space="preserve">EPS-diluted-adjusted is used by management and can be used by investors to review our consolidated diluted EPS results consistently. EPS-diluted-adjusted is calculated as net income attributable to common stockholders-diluted less income (loss) from discontinued operations on an after-tax basis, adjustments noted above for EBIT-adjusted and certain income tax adjustments divided by weighted-average common shares outstanding-diluted. </w:t>
      </w:r>
    </w:p>
    <w:p w:rsidR="00883670" w:rsidRDefault="00883670" w:rsidP="00883670">
      <w:pPr>
        <w:pStyle w:val="NormalWeb"/>
        <w:spacing w:before="0" w:beforeAutospacing="0" w:after="0" w:afterAutospacing="0"/>
        <w:rPr>
          <w:rStyle w:val="Emphasis"/>
          <w:b/>
          <w:bCs/>
          <w:color w:val="0E101A"/>
        </w:rPr>
      </w:pPr>
    </w:p>
    <w:p w:rsidR="00883670" w:rsidRDefault="00883670" w:rsidP="00883670">
      <w:pPr>
        <w:pStyle w:val="NormalWeb"/>
        <w:spacing w:before="0" w:beforeAutospacing="0" w:after="0" w:afterAutospacing="0"/>
        <w:rPr>
          <w:rStyle w:val="Emphasis"/>
          <w:b/>
          <w:bCs/>
          <w:color w:val="0E101A"/>
        </w:rPr>
      </w:pPr>
    </w:p>
    <w:p w:rsidR="00883670" w:rsidRDefault="00883670" w:rsidP="00883670">
      <w:pPr>
        <w:pStyle w:val="NormalWeb"/>
        <w:spacing w:before="0" w:beforeAutospacing="0" w:after="0" w:afterAutospacing="0"/>
        <w:rPr>
          <w:rStyle w:val="Emphasis"/>
          <w:b/>
          <w:bCs/>
          <w:color w:val="0E101A"/>
        </w:rPr>
      </w:pPr>
    </w:p>
    <w:p w:rsidR="00883670" w:rsidRDefault="00883670" w:rsidP="00883670">
      <w:pPr>
        <w:pStyle w:val="NormalWeb"/>
        <w:spacing w:before="0" w:beforeAutospacing="0" w:after="0" w:afterAutospacing="0"/>
        <w:rPr>
          <w:color w:val="0E101A"/>
        </w:rPr>
      </w:pPr>
      <w:r>
        <w:rPr>
          <w:rStyle w:val="Emphasis"/>
          <w:b/>
          <w:bCs/>
          <w:color w:val="0E101A"/>
        </w:rPr>
        <w:t>EBIT-adjusted </w:t>
      </w:r>
      <w:r>
        <w:rPr>
          <w:color w:val="0E101A"/>
        </w:rPr>
        <w:t>EBIT-adjusted is presented net of non controlling interests and is used by management and can be used by investors to review our consolidated operating results because it excludes automotive interest income, automotive interest expense, and income taxes as well as certain additional adjustments that are not considered part of our core operations..</w:t>
      </w:r>
    </w:p>
    <w:p w:rsidR="003518C0" w:rsidRDefault="003518C0" w:rsidP="007E750C">
      <w:pPr>
        <w:rPr>
          <w:rFonts w:ascii="Times New Roman" w:hAnsi="Times New Roman" w:cs="Times New Roman"/>
          <w:sz w:val="24"/>
          <w:szCs w:val="24"/>
        </w:rPr>
      </w:pPr>
    </w:p>
    <w:p w:rsidR="00567106" w:rsidRPr="00567106" w:rsidRDefault="00567106" w:rsidP="00567106">
      <w:pPr>
        <w:rPr>
          <w:rFonts w:ascii="Times New Roman" w:hAnsi="Times New Roman" w:cs="Times New Roman"/>
          <w:sz w:val="24"/>
          <w:szCs w:val="24"/>
        </w:rPr>
      </w:pPr>
      <w:r w:rsidRPr="00567106">
        <w:rPr>
          <w:rFonts w:ascii="Times New Roman" w:hAnsi="Times New Roman" w:cs="Times New Roman"/>
          <w:sz w:val="24"/>
          <w:szCs w:val="24"/>
        </w:rPr>
        <w:lastRenderedPageBreak/>
        <w:t>These adjustments mentioned above impact financial statements and some of the ratios in the following ways:</w:t>
      </w:r>
    </w:p>
    <w:p w:rsidR="00567106" w:rsidRPr="00567106" w:rsidRDefault="00567106" w:rsidP="00567106">
      <w:pPr>
        <w:rPr>
          <w:rFonts w:ascii="Times New Roman" w:hAnsi="Times New Roman" w:cs="Times New Roman"/>
          <w:sz w:val="24"/>
          <w:szCs w:val="24"/>
        </w:rPr>
      </w:pPr>
      <w:r w:rsidRPr="00567106">
        <w:rPr>
          <w:rFonts w:ascii="Times New Roman" w:hAnsi="Times New Roman" w:cs="Times New Roman"/>
          <w:sz w:val="24"/>
          <w:szCs w:val="24"/>
        </w:rPr>
        <w:t>-The EBITDA margin is a profitability ratio that measures how much in earnings a company is generating before interest, taxes, depreciation, and amortization, as a percentage of revenue. EBITDA Margin = EBITDA / Revenue. Adjustments to the earnings before interest and tax will have an impact on this ratio depending on whether it is an increase or a decrease in the EBIT</w:t>
      </w:r>
    </w:p>
    <w:p w:rsidR="00567106" w:rsidRPr="00567106" w:rsidRDefault="00567106" w:rsidP="00567106">
      <w:pPr>
        <w:rPr>
          <w:rFonts w:ascii="Times New Roman" w:hAnsi="Times New Roman" w:cs="Times New Roman"/>
          <w:sz w:val="24"/>
          <w:szCs w:val="24"/>
        </w:rPr>
      </w:pPr>
      <w:r w:rsidRPr="00567106">
        <w:rPr>
          <w:rFonts w:ascii="Times New Roman" w:hAnsi="Times New Roman" w:cs="Times New Roman"/>
          <w:sz w:val="24"/>
          <w:szCs w:val="24"/>
        </w:rPr>
        <w:t>-EPS adjustment will affect the earning per share ratio of the company it will also affect the statement of equity of the company. Earnings per share are calculated as the company’s profit divided by the outstanding number of shares.</w:t>
      </w:r>
    </w:p>
    <w:p w:rsidR="002A4AFD" w:rsidRPr="00567106" w:rsidRDefault="00567106" w:rsidP="00567106">
      <w:pPr>
        <w:rPr>
          <w:rFonts w:ascii="Times New Roman" w:hAnsi="Times New Roman" w:cs="Times New Roman"/>
          <w:sz w:val="24"/>
          <w:szCs w:val="24"/>
        </w:rPr>
      </w:pPr>
      <w:r w:rsidRPr="00567106">
        <w:rPr>
          <w:rFonts w:ascii="Times New Roman" w:hAnsi="Times New Roman" w:cs="Times New Roman"/>
          <w:sz w:val="24"/>
          <w:szCs w:val="24"/>
        </w:rPr>
        <w:t>-ETR adjustments will affect the Expected tail ratio and the income statement is it may either increase or decrease the income tax expense.</w:t>
      </w:r>
    </w:p>
    <w:p w:rsidR="00883670" w:rsidRPr="003518C0" w:rsidRDefault="00567106" w:rsidP="007E750C">
      <w:pPr>
        <w:rPr>
          <w:rFonts w:ascii="Times New Roman" w:hAnsi="Times New Roman" w:cs="Times New Roman"/>
          <w:sz w:val="24"/>
          <w:szCs w:val="24"/>
        </w:rPr>
      </w:pPr>
      <w:r>
        <w:rPr>
          <w:rFonts w:ascii="Times New Roman" w:hAnsi="Times New Roman" w:cs="Times New Roman"/>
          <w:sz w:val="24"/>
          <w:szCs w:val="24"/>
        </w:rPr>
        <w:t>Link to the financial statements;</w:t>
      </w:r>
      <w:r w:rsidRPr="00567106">
        <w:t xml:space="preserve"> </w:t>
      </w:r>
      <w:hyperlink r:id="rId7" w:history="1">
        <w:r>
          <w:rPr>
            <w:rStyle w:val="Hyperlink"/>
          </w:rPr>
          <w:t>https://www.macrotrends.net/stocks/charts/GM/general-motors/financial-statements</w:t>
        </w:r>
      </w:hyperlink>
    </w:p>
    <w:sectPr w:rsidR="00883670" w:rsidRPr="003518C0" w:rsidSect="00053FC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750C" w:rsidRDefault="007E750C" w:rsidP="007E750C">
      <w:pPr>
        <w:spacing w:after="0" w:line="240" w:lineRule="auto"/>
      </w:pPr>
      <w:r>
        <w:separator/>
      </w:r>
    </w:p>
  </w:endnote>
  <w:endnote w:type="continuationSeparator" w:id="1">
    <w:p w:rsidR="007E750C" w:rsidRDefault="007E750C" w:rsidP="007E75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750C" w:rsidRDefault="007E750C" w:rsidP="007E750C">
      <w:pPr>
        <w:spacing w:after="0" w:line="240" w:lineRule="auto"/>
      </w:pPr>
      <w:r>
        <w:separator/>
      </w:r>
    </w:p>
  </w:footnote>
  <w:footnote w:type="continuationSeparator" w:id="1">
    <w:p w:rsidR="007E750C" w:rsidRDefault="007E750C" w:rsidP="007E750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proofState w:spelling="clean" w:grammar="clean"/>
  <w:defaultTabStop w:val="720"/>
  <w:characterSpacingControl w:val="doNotCompress"/>
  <w:footnotePr>
    <w:footnote w:id="0"/>
    <w:footnote w:id="1"/>
  </w:footnotePr>
  <w:endnotePr>
    <w:endnote w:id="0"/>
    <w:endnote w:id="1"/>
  </w:endnotePr>
  <w:compat/>
  <w:rsids>
    <w:rsidRoot w:val="007E750C"/>
    <w:rsid w:val="00051160"/>
    <w:rsid w:val="00053FCB"/>
    <w:rsid w:val="0024526E"/>
    <w:rsid w:val="002461A6"/>
    <w:rsid w:val="00287A7B"/>
    <w:rsid w:val="002A4AFD"/>
    <w:rsid w:val="003518C0"/>
    <w:rsid w:val="0053243D"/>
    <w:rsid w:val="00567106"/>
    <w:rsid w:val="006E5B86"/>
    <w:rsid w:val="007312DD"/>
    <w:rsid w:val="00757600"/>
    <w:rsid w:val="007D7875"/>
    <w:rsid w:val="007E750C"/>
    <w:rsid w:val="00883670"/>
    <w:rsid w:val="009521A8"/>
    <w:rsid w:val="00CE0A32"/>
    <w:rsid w:val="00D941AF"/>
    <w:rsid w:val="00DD05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FCB"/>
  </w:style>
  <w:style w:type="paragraph" w:styleId="Heading1">
    <w:name w:val="heading 1"/>
    <w:basedOn w:val="Normal"/>
    <w:next w:val="Normal"/>
    <w:link w:val="Heading1Char"/>
    <w:rsid w:val="007E750C"/>
    <w:pPr>
      <w:keepNext/>
      <w:keepLines/>
      <w:spacing w:before="240" w:after="0" w:line="240" w:lineRule="auto"/>
      <w:outlineLvl w:val="0"/>
    </w:pPr>
    <w:rPr>
      <w:rFonts w:ascii="Cambria" w:eastAsia="Cambria" w:hAnsi="Cambria" w:cs="Cambria"/>
      <w:color w:val="36609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E750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E750C"/>
  </w:style>
  <w:style w:type="paragraph" w:styleId="Footer">
    <w:name w:val="footer"/>
    <w:basedOn w:val="Normal"/>
    <w:link w:val="FooterChar"/>
    <w:uiPriority w:val="99"/>
    <w:semiHidden/>
    <w:unhideWhenUsed/>
    <w:rsid w:val="007E750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750C"/>
  </w:style>
  <w:style w:type="character" w:customStyle="1" w:styleId="Heading1Char">
    <w:name w:val="Heading 1 Char"/>
    <w:basedOn w:val="DefaultParagraphFont"/>
    <w:link w:val="Heading1"/>
    <w:rsid w:val="007E750C"/>
    <w:rPr>
      <w:rFonts w:ascii="Cambria" w:eastAsia="Cambria" w:hAnsi="Cambria" w:cs="Cambria"/>
      <w:color w:val="366091"/>
      <w:sz w:val="32"/>
      <w:szCs w:val="32"/>
    </w:rPr>
  </w:style>
  <w:style w:type="character" w:styleId="PlaceholderText">
    <w:name w:val="Placeholder Text"/>
    <w:basedOn w:val="DefaultParagraphFont"/>
    <w:uiPriority w:val="99"/>
    <w:semiHidden/>
    <w:rsid w:val="006E5B86"/>
    <w:rPr>
      <w:color w:val="808080"/>
    </w:rPr>
  </w:style>
  <w:style w:type="paragraph" w:styleId="BalloonText">
    <w:name w:val="Balloon Text"/>
    <w:basedOn w:val="Normal"/>
    <w:link w:val="BalloonTextChar"/>
    <w:uiPriority w:val="99"/>
    <w:semiHidden/>
    <w:unhideWhenUsed/>
    <w:rsid w:val="006E5B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5B86"/>
    <w:rPr>
      <w:rFonts w:ascii="Tahoma" w:hAnsi="Tahoma" w:cs="Tahoma"/>
      <w:sz w:val="16"/>
      <w:szCs w:val="16"/>
    </w:rPr>
  </w:style>
  <w:style w:type="paragraph" w:styleId="NormalWeb">
    <w:name w:val="Normal (Web)"/>
    <w:basedOn w:val="Normal"/>
    <w:uiPriority w:val="99"/>
    <w:semiHidden/>
    <w:unhideWhenUsed/>
    <w:rsid w:val="0088367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83670"/>
    <w:rPr>
      <w:i/>
      <w:iCs/>
    </w:rPr>
  </w:style>
  <w:style w:type="character" w:styleId="Hyperlink">
    <w:name w:val="Hyperlink"/>
    <w:basedOn w:val="DefaultParagraphFont"/>
    <w:uiPriority w:val="99"/>
    <w:semiHidden/>
    <w:unhideWhenUsed/>
    <w:rsid w:val="00567106"/>
    <w:rPr>
      <w:color w:val="0000FF"/>
      <w:u w:val="single"/>
    </w:rPr>
  </w:style>
</w:styles>
</file>

<file path=word/webSettings.xml><?xml version="1.0" encoding="utf-8"?>
<w:webSettings xmlns:r="http://schemas.openxmlformats.org/officeDocument/2006/relationships" xmlns:w="http://schemas.openxmlformats.org/wordprocessingml/2006/main">
  <w:divs>
    <w:div w:id="524444005">
      <w:bodyDiv w:val="1"/>
      <w:marLeft w:val="0"/>
      <w:marRight w:val="0"/>
      <w:marTop w:val="0"/>
      <w:marBottom w:val="0"/>
      <w:divBdr>
        <w:top w:val="none" w:sz="0" w:space="0" w:color="auto"/>
        <w:left w:val="none" w:sz="0" w:space="0" w:color="auto"/>
        <w:bottom w:val="none" w:sz="0" w:space="0" w:color="auto"/>
        <w:right w:val="none" w:sz="0" w:space="0" w:color="auto"/>
      </w:divBdr>
    </w:div>
    <w:div w:id="898712767">
      <w:bodyDiv w:val="1"/>
      <w:marLeft w:val="0"/>
      <w:marRight w:val="0"/>
      <w:marTop w:val="0"/>
      <w:marBottom w:val="0"/>
      <w:divBdr>
        <w:top w:val="none" w:sz="0" w:space="0" w:color="auto"/>
        <w:left w:val="none" w:sz="0" w:space="0" w:color="auto"/>
        <w:bottom w:val="none" w:sz="0" w:space="0" w:color="auto"/>
        <w:right w:val="none" w:sz="0" w:space="0" w:color="auto"/>
      </w:divBdr>
    </w:div>
    <w:div w:id="1120614972">
      <w:bodyDiv w:val="1"/>
      <w:marLeft w:val="0"/>
      <w:marRight w:val="0"/>
      <w:marTop w:val="0"/>
      <w:marBottom w:val="0"/>
      <w:divBdr>
        <w:top w:val="none" w:sz="0" w:space="0" w:color="auto"/>
        <w:left w:val="none" w:sz="0" w:space="0" w:color="auto"/>
        <w:bottom w:val="none" w:sz="0" w:space="0" w:color="auto"/>
        <w:right w:val="none" w:sz="0" w:space="0" w:color="auto"/>
      </w:divBdr>
    </w:div>
    <w:div w:id="1394769322">
      <w:bodyDiv w:val="1"/>
      <w:marLeft w:val="0"/>
      <w:marRight w:val="0"/>
      <w:marTop w:val="0"/>
      <w:marBottom w:val="0"/>
      <w:divBdr>
        <w:top w:val="none" w:sz="0" w:space="0" w:color="auto"/>
        <w:left w:val="none" w:sz="0" w:space="0" w:color="auto"/>
        <w:bottom w:val="none" w:sz="0" w:space="0" w:color="auto"/>
        <w:right w:val="none" w:sz="0" w:space="0" w:color="auto"/>
      </w:divBdr>
    </w:div>
    <w:div w:id="187990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acrotrends.net/stocks/charts/GM/general-motors/financial-statement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5EA5B-8C82-4919-BCC4-4AB13CFB4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7294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2020-07-17T22:22:00Z</dcterms:created>
  <dcterms:modified xsi:type="dcterms:W3CDTF">2020-07-17T22:22:00Z</dcterms:modified>
</cp:coreProperties>
</file>